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/*â€”â€”â€”â€” README â€”â€”â€”â€”*/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/*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CSS file adds additional styling to Community Hub beyond what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is possible in Theme Settings (on the Community Hub Settings tab).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includes several corrections to the Bold Theme that are not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accessible via Theme Settings.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If you are using the Bold Theme and want to rapidly change the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most prominently featured color in Community Hub, simply do a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Find and Replace All on the current primary color, which is #6D9EC3.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assumes your primary color contrasts well with white (#FFFFFF).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not, you will find many elements hard to read. We strongly advise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selecting a primary color that contrasts well with white.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either case, you will need to make additional changes in Theme Settings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since this file is only meant to supplement Theme Settings, not replace it.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*/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/*â€”â€”â€”â€” GENERAL â€”â€”â€”â€”*/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/* Imports a Google Font so it can be declared in Theme Settings. */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@import url(https://fonts.googleapis.com/css?family=Montserrat:300,400,700);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/*â€”â€”â€”â€” GLOBAL HEADER â€”â€”â€”â€”*/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/* Sets a minimum height on the global nav. This is more so pertinent for the mobile menu. */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.navbar {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min-height: 50px;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/* Sets a maximum height on the mobile logo. */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.m-logo-retina {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max-height: 45px;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/* Fix the Font Color of the "MENU" Button on Mobile when it's "Active." */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.navbar-default .m-toggle-button.s-active .m-toggle-button-text {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color: #2C378E;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/*â€”â€”â€”â€” MAIN CANVAS â€”â€”â€”â€”*/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/* Changes the border color on cards (default is white). */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.card,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.card-list {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border-color: #2C378E !important;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/* Changes the top border color on the "Account" navigation menu for larger viewports. */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.l-canvas .list-group {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border-top-color: #2C378E;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/* Changes the default dark gray page header background color. */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.page-header.page-header-anchor.m-page-header {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background-color: #2C378E;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/* Indents and shrinks child navigation menu items (mobile and desktop). */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.nav-child {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margin-left: 2em;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font-size: .9em;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/*â€”â€”â€”â€” MOBILE MENU CANVAS â€”â€”â€”â€”*/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/* Removes margin from the top of the mobile menu so it aligns with the container div. */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.m-off-canvas-nav {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margin-top: 0px;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/* Changes dark gray background color of mobile menu to light gray. */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.l-off-canvas.l-off-canvas-left {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background-color: #F9F9F9;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/* Sets the color of Navigation Menu Items in the mobile menu to the primary color. */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.m-off-canvas-nav a.list-group-item {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background-color: #2C378E;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border-color: #ffffff;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color: #fff !important;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/* Simplifies mobile menu Nav Menu Item hover and focus colors to be a shade of the primary color. */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.m-off-canvas-nav a.list-group-item:focus,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.m-off-canvas-nav a.list-group-item:hover {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background-color: #2C378E;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box-shadow: 0 3000px rgba(0, 0, 0, 0.2) inset;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/* In mobile menu, converts left margin of child Nav Menu Items to left padding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to prevent white background from appearing. */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.m-off-canvas-nav a.list-group-item.nav-child {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margin-left: 0;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padding-left: 2.5em;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/* Simplify Mobile Menu "list group" border to be a shade of the primary color using ARGB. */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.l-off-canvas .m-off-canvas-nav .list-group {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border-bottom-color: #2C378E99;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/* Changes the dark gray color of a selected item in a list to the primary color (e.g., Checkout page). */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.m-list-group-select a.list-group-item.active,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.m-list-group-select a.list-group-item.active:focus,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.m-list-group-select a.list-group-item.active:hover,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.m-list-group-select div.list-group-item.active {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background-color: #2C378E;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/*â€”â€”â€”â€” FLOWS â€”â€”â€”â€”*/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/* Corrects checkbox option display within a flow. */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.nu-lightning-wrapper .uiBlock .bBody .slds-form-element__control .slds-checkbox {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width: auto;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/* Corrects text area label display within a flow. */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.nu-lightning-wrapper .bBody .inputHeader .richTextLabel {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display: inline-block;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float: none;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text-align: left;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ab/>
        <w:t xml:space="preserve">width: 100%;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/* Corrects previous button display within a flow. */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.slds-button.slds-button_neutral.uiButton--default.uiButton{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padding-left: 1rem;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padding-right: 1rem;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text-align: center;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vertical-align: middle;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border: 1px solid #2C378E;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transition: border .15s linear;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background-color: #2C378E;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color: rgb(255, 255, 255);</w:t>
        <w:tab/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/* Allows Address lightning component country picklist to behave correctly within a flow. */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.slds-scope .slds-form_compound .slds-form-element__group .slds-form-element__row{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 xml:space="preserve">display: inherit;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/* Relocates the required asterisk on Lightning-wrapped components. */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.nu-lightning-wrapper .uiBlock .bBody .inputHeader .required{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margin-right: auto;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 xml:space="preserve">margin-left: auto;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/* Adds padding to radio button inputs within a flow. */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.flowruntimeRadioButtonInput .bBody .slds-form-element__control{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padding-top: 25px;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